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C5C7" w14:textId="77777777" w:rsidR="00DC60EF" w:rsidRPr="00DC60EF" w:rsidRDefault="00DC60EF" w:rsidP="00DC60EF">
      <w:pPr>
        <w:keepNext/>
        <w:spacing w:before="320" w:after="220" w:line="240" w:lineRule="auto"/>
        <w:outlineLvl w:val="2"/>
        <w:rPr>
          <w:rFonts w:ascii="Times New Roman" w:eastAsia="Times New Roman" w:hAnsi="Times New Roman" w:cs="Times New Roman"/>
          <w:b/>
          <w:bCs/>
          <w:kern w:val="0"/>
          <w:sz w:val="32"/>
          <w14:ligatures w14:val="none"/>
        </w:rPr>
      </w:pPr>
      <w:r w:rsidRPr="00DC60EF">
        <w:rPr>
          <w:rFonts w:ascii="Times New Roman" w:eastAsia="Times New Roman" w:hAnsi="Times New Roman" w:cs="Times New Roman"/>
          <w:b/>
          <w:bCs/>
          <w:kern w:val="0"/>
          <w:sz w:val="32"/>
          <w14:ligatures w14:val="none"/>
        </w:rPr>
        <w:t>Lecture Notes</w:t>
      </w:r>
    </w:p>
    <w:p w14:paraId="1FB02682" w14:textId="77777777" w:rsidR="00DC60EF" w:rsidRPr="00DC60EF" w:rsidRDefault="00DC60EF" w:rsidP="00DC60EF">
      <w:pPr>
        <w:tabs>
          <w:tab w:val="num" w:pos="360"/>
        </w:tabs>
        <w:spacing w:after="0" w:line="240" w:lineRule="auto"/>
        <w:ind w:left="360" w:hanging="360"/>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Realization and Recognition of Income</w:t>
      </w:r>
    </w:p>
    <w:p w14:paraId="43C1FA14"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What is included in gross income?</w:t>
      </w:r>
    </w:p>
    <w:p w14:paraId="03A3BB98"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Reg. §1.61-(a) provides further insight into the definition of gross income as follows:</w:t>
      </w:r>
    </w:p>
    <w:p w14:paraId="3B606008" w14:textId="77777777" w:rsidR="00DC60EF" w:rsidRPr="00DC60EF" w:rsidRDefault="00DC60EF" w:rsidP="00DC60EF">
      <w:pPr>
        <w:spacing w:after="0" w:line="240" w:lineRule="auto"/>
        <w:ind w:left="1064" w:firstLine="14"/>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Gross income means all income from whatever source derived, unless excluded by law. Gross income includes income realized in any form, whether in money, property, or services.</w:t>
      </w:r>
    </w:p>
    <w:p w14:paraId="7B50D404"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Economic benefit</w:t>
      </w:r>
    </w:p>
    <w:p w14:paraId="66E297B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Realization principle</w:t>
      </w:r>
    </w:p>
    <w:p w14:paraId="1DE3F1EC"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Income is realized when: </w:t>
      </w:r>
    </w:p>
    <w:p w14:paraId="4CC4B06B" w14:textId="77777777" w:rsidR="00DC60EF" w:rsidRPr="00DC60EF" w:rsidRDefault="00DC60EF" w:rsidP="00DC60EF">
      <w:pPr>
        <w:numPr>
          <w:ilvl w:val="5"/>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A taxpayer engages in a transaction with another party, and </w:t>
      </w:r>
    </w:p>
    <w:p w14:paraId="30B0CFDD" w14:textId="77777777" w:rsidR="00DC60EF" w:rsidRPr="00DC60EF" w:rsidRDefault="00DC60EF" w:rsidP="00DC60EF">
      <w:pPr>
        <w:numPr>
          <w:ilvl w:val="5"/>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The transaction results in a measurable change in property rights.</w:t>
      </w:r>
    </w:p>
    <w:p w14:paraId="0A2326B5"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w:t>
      </w:r>
    </w:p>
    <w:p w14:paraId="0190A3EE"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Recognition</w:t>
      </w:r>
    </w:p>
    <w:p w14:paraId="24EDA174"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 Other income concepts</w:t>
      </w:r>
    </w:p>
    <w:p w14:paraId="4B579743"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Form of receipt</w:t>
      </w:r>
    </w:p>
    <w:p w14:paraId="7A52CC8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w:t>
      </w:r>
    </w:p>
    <w:p w14:paraId="557E3242"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Return of capital principle </w:t>
      </w:r>
    </w:p>
    <w:p w14:paraId="655B03B0"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Recovery of amounts previously deducted</w:t>
      </w:r>
    </w:p>
    <w:p w14:paraId="6FA95E7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5-3.</w:t>
      </w:r>
    </w:p>
    <w:p w14:paraId="4F9ABC4C"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When do taxpayers recognize income?</w:t>
      </w:r>
    </w:p>
    <w:p w14:paraId="7E36962F"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Accounting methods</w:t>
      </w:r>
    </w:p>
    <w:p w14:paraId="0F2C7C78"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Accrual method</w:t>
      </w:r>
    </w:p>
    <w:p w14:paraId="38AFB095"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Cash method</w:t>
      </w:r>
    </w:p>
    <w:p w14:paraId="47160551" w14:textId="77777777" w:rsidR="00DC60EF" w:rsidRPr="00DC60EF" w:rsidRDefault="00DC60EF" w:rsidP="00DC60EF">
      <w:pPr>
        <w:numPr>
          <w:ilvl w:val="2"/>
          <w:numId w:val="1"/>
        </w:numPr>
        <w:spacing w:after="400" w:line="240" w:lineRule="auto"/>
        <w:ind w:left="1077" w:hanging="357"/>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Constructive receipt</w:t>
      </w:r>
    </w:p>
    <w:p w14:paraId="32D6CF51"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The constructive receipt doctrine states that a taxpayer must realize and recognize income when it is actually or constructively received.</w:t>
      </w:r>
    </w:p>
    <w:p w14:paraId="75DC1690"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5-4.</w:t>
      </w:r>
    </w:p>
    <w:p w14:paraId="175A7EBD"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Claim of right</w:t>
      </w:r>
    </w:p>
    <w:p w14:paraId="05BCC5D9"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Who recognizes the income?</w:t>
      </w:r>
    </w:p>
    <w:p w14:paraId="35FEB740"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Taxpayers attempt to shift income to other related taxpayers through the income-shifting strategy.</w:t>
      </w:r>
    </w:p>
    <w:p w14:paraId="07C8EC8B"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Example of income-shifting strategy: A parent (with a high marginal income tax rate) might wish to assign their paycheck to their child (with a low marginal income tax rate) to minimize their collective tax burden.</w:t>
      </w:r>
    </w:p>
    <w:p w14:paraId="42273F40"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Assignment of income </w:t>
      </w:r>
    </w:p>
    <w:p w14:paraId="76B26146"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5-5.</w:t>
      </w:r>
    </w:p>
    <w:p w14:paraId="344AB14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Community property systems </w:t>
      </w:r>
    </w:p>
    <w:p w14:paraId="307F5AD7"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For federal income tax purposes, the community property system has the following consequences: </w:t>
      </w:r>
    </w:p>
    <w:p w14:paraId="20CCBB7B"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Half of the income earned from the services of one spouse is included in the gross income of the other spouse.</w:t>
      </w:r>
    </w:p>
    <w:p w14:paraId="69411B33"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Half of the income from property held as community property by the married couple is included in the gross income of each spouse.</w:t>
      </w:r>
    </w:p>
    <w:p w14:paraId="01BD523E"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 five community property states (Arizona, California, Nevada, New Mexico, and Washington), all of the income from property owned separately by one spouse is included in that spouse’s gross income.</w:t>
      </w:r>
    </w:p>
    <w:p w14:paraId="5708B86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lastRenderedPageBreak/>
        <w:t>In Texas, Louisiana, Wisconsin, and Idaho, half of the income from property owned separately by one spouse is included in the gross income of each spouse.</w:t>
      </w:r>
    </w:p>
    <w:p w14:paraId="0497949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Common law systems</w:t>
      </w:r>
    </w:p>
    <w:p w14:paraId="462BA29E" w14:textId="77777777" w:rsidR="00DC60EF" w:rsidRPr="00DC60EF" w:rsidRDefault="00DC60EF" w:rsidP="00DC60EF">
      <w:pPr>
        <w:numPr>
          <w:ilvl w:val="3"/>
          <w:numId w:val="0"/>
        </w:numPr>
        <w:tabs>
          <w:tab w:val="left" w:pos="1474"/>
        </w:tabs>
        <w:spacing w:after="0" w:line="240" w:lineRule="auto"/>
        <w:ind w:left="1077"/>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For federal income tax purposes, the common law system has the following consequences:</w:t>
      </w:r>
    </w:p>
    <w:p w14:paraId="130A71B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 xml:space="preserve">All of the income earned from the </w:t>
      </w:r>
      <w:r w:rsidRPr="00DC60EF">
        <w:rPr>
          <w:rFonts w:ascii="Times New Roman" w:eastAsia="Times New Roman" w:hAnsi="Times New Roman" w:cs="Times New Roman"/>
          <w:i/>
          <w:kern w:val="0"/>
          <w:sz w:val="22"/>
          <w:szCs w:val="22"/>
          <w14:ligatures w14:val="none"/>
        </w:rPr>
        <w:t>services</w:t>
      </w:r>
      <w:r w:rsidRPr="00DC60EF">
        <w:rPr>
          <w:rFonts w:ascii="Times New Roman" w:eastAsia="Times New Roman" w:hAnsi="Times New Roman" w:cs="Times New Roman"/>
          <w:kern w:val="0"/>
          <w:sz w:val="22"/>
          <w:szCs w:val="22"/>
          <w14:ligatures w14:val="none"/>
        </w:rPr>
        <w:t xml:space="preserve"> of one spouse is included in the gross income of the spouse who earned it.</w:t>
      </w:r>
    </w:p>
    <w:p w14:paraId="12B99662"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 xml:space="preserve">For property owned </w:t>
      </w:r>
      <w:r w:rsidRPr="00DC60EF">
        <w:rPr>
          <w:rFonts w:ascii="Times New Roman" w:eastAsia="Times New Roman" w:hAnsi="Times New Roman" w:cs="Times New Roman"/>
          <w:i/>
          <w:kern w:val="0"/>
          <w:sz w:val="22"/>
          <w:szCs w:val="22"/>
          <w14:ligatures w14:val="none"/>
        </w:rPr>
        <w:t>separately</w:t>
      </w:r>
      <w:r w:rsidRPr="00DC60EF">
        <w:rPr>
          <w:rFonts w:ascii="Times New Roman" w:eastAsia="Times New Roman" w:hAnsi="Times New Roman" w:cs="Times New Roman"/>
          <w:kern w:val="0"/>
          <w:sz w:val="22"/>
          <w:szCs w:val="22"/>
          <w14:ligatures w14:val="none"/>
        </w:rPr>
        <w:t>, all of the income from the separately owned property is included in that spouse’s gross income.</w:t>
      </w:r>
    </w:p>
    <w:p w14:paraId="74CAEEB6"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 xml:space="preserve">For property owned </w:t>
      </w:r>
      <w:r w:rsidRPr="00DC60EF">
        <w:rPr>
          <w:rFonts w:ascii="Times New Roman" w:eastAsia="Times New Roman" w:hAnsi="Times New Roman" w:cs="Times New Roman"/>
          <w:i/>
          <w:kern w:val="0"/>
          <w:sz w:val="22"/>
          <w:szCs w:val="22"/>
          <w14:ligatures w14:val="none"/>
        </w:rPr>
        <w:t>jointly</w:t>
      </w:r>
      <w:r w:rsidRPr="00DC60EF">
        <w:rPr>
          <w:rFonts w:ascii="Times New Roman" w:eastAsia="Times New Roman" w:hAnsi="Times New Roman" w:cs="Times New Roman"/>
          <w:kern w:val="0"/>
          <w:sz w:val="22"/>
          <w:szCs w:val="22"/>
          <w14:ligatures w14:val="none"/>
        </w:rPr>
        <w:t xml:space="preserve"> (that is, not separately), each co-owner is taxed on the income attributable to their share of the property. For example, suppose that a parcel of property is jointly owned by husband and wife. One-half would be included in the gross income of each spouse. Similarly, income from property owned by three or more persons would be included in the gross income of each co-owner based on their respective ownership share.</w:t>
      </w:r>
    </w:p>
    <w:p w14:paraId="2834B667" w14:textId="77777777" w:rsidR="00DC60EF" w:rsidRPr="00DC60EF" w:rsidRDefault="00DC60EF" w:rsidP="00DC60EF">
      <w:pPr>
        <w:numPr>
          <w:ilvl w:val="3"/>
          <w:numId w:val="0"/>
        </w:numPr>
        <w:spacing w:after="0" w:line="240" w:lineRule="auto"/>
        <w:ind w:left="1440" w:hanging="360"/>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Work through Example 5-6.</w:t>
      </w:r>
    </w:p>
    <w:p w14:paraId="094651AE" w14:textId="77777777" w:rsidR="00DC60EF" w:rsidRPr="00DC60EF" w:rsidRDefault="00DC60EF" w:rsidP="00DC60EF">
      <w:pPr>
        <w:numPr>
          <w:ilvl w:val="0"/>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Types of Income </w:t>
      </w:r>
    </w:p>
    <w:p w14:paraId="69B845E4"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Income from services</w:t>
      </w:r>
    </w:p>
    <w:p w14:paraId="5D5E392F"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Common source of gross income—income from labor</w:t>
      </w:r>
    </w:p>
    <w:p w14:paraId="02C4957F"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Payments for services including salary, wages, and fees that a taxpayer earns through services in a nonemployee capacity are all considered income from services.</w:t>
      </w:r>
    </w:p>
    <w:p w14:paraId="4AA7DF4F"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Income from services is often referred to as earned income.</w:t>
      </w:r>
    </w:p>
    <w:p w14:paraId="252EC00E"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5-7.</w:t>
      </w:r>
    </w:p>
    <w:p w14:paraId="0D8AA837"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Income from property</w:t>
      </w:r>
    </w:p>
    <w:p w14:paraId="1B63F24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Examples 5-8, 5-9, and 5-10.</w:t>
      </w:r>
    </w:p>
    <w:p w14:paraId="6451DB97"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Annuities</w:t>
      </w:r>
    </w:p>
    <w:p w14:paraId="3362153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An annuity is an investment that pays a stream of equal payments over time.</w:t>
      </w:r>
    </w:p>
    <w:p w14:paraId="54D56F6B"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Annuities paid over a fixed period.</w:t>
      </w:r>
    </w:p>
    <w:p w14:paraId="1B2046C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Annuities paid over a person’s life (for as long as the person lives). </w:t>
      </w:r>
    </w:p>
    <w:p w14:paraId="4048BB4E"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Use of annuity exclusion ratio to determine the return of capital (nontaxable) portion of each payment.</w:t>
      </w:r>
    </w:p>
    <w:p w14:paraId="414665D8"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Use of IRS tables to determine the expected number of payments based upon the taxpayer’s life expectancy at the start of the annuity.</w:t>
      </w:r>
    </w:p>
    <w:p w14:paraId="44BDE663"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5-11.</w:t>
      </w:r>
    </w:p>
    <w:p w14:paraId="443C326A"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Property dispositions</w:t>
      </w:r>
    </w:p>
    <w:p w14:paraId="5466ED2A"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Taxpayers can realize a gain or loss when disposing of an asset.</w:t>
      </w:r>
    </w:p>
    <w:p w14:paraId="0BA54A3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Taxpayers are allowed to recover the capital invested in property tax-free.</w:t>
      </w:r>
    </w:p>
    <w:p w14:paraId="5F1DC1C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Payments from purchased annuities are part income and part return of capital.</w:t>
      </w:r>
    </w:p>
    <w:p w14:paraId="13A0C5CB"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When property is sold or disposed, the realized gain or loss equals the sale proceeds reduced by the tax basis of the property.</w:t>
      </w:r>
    </w:p>
    <w:p w14:paraId="19D0BAF0"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Formula for calculation gain or loss: Sales proceeds (−) Selling expenses (=) Amount realized (−) Basis in property sold (=) Gain/Loss on sale.</w:t>
      </w:r>
    </w:p>
    <w:p w14:paraId="77A059E2"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The rate at which taxpayers are taxed on gains from property dispositions and the extent to which they can deduct losses from property dispositions depends on whether the taxpayer used the asset for business purposes, investment purposes, or personal purposes.</w:t>
      </w:r>
    </w:p>
    <w:p w14:paraId="5DA524FE"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5-12.</w:t>
      </w:r>
    </w:p>
    <w:p w14:paraId="238901B6"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Other sources of gross income</w:t>
      </w:r>
    </w:p>
    <w:p w14:paraId="5A136A00"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Income from flow-through entity</w:t>
      </w:r>
    </w:p>
    <w:p w14:paraId="35D65565"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5-13.</w:t>
      </w:r>
    </w:p>
    <w:p w14:paraId="7A96E3E5"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Alimony</w:t>
      </w:r>
    </w:p>
    <w:p w14:paraId="09B1D117"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When couples legally separate or divorce, one spouse may be required to provide financial support to the other in the form of alimony.</w:t>
      </w:r>
    </w:p>
    <w:p w14:paraId="05AF0D71"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lastRenderedPageBreak/>
        <w:t>The tax law defines alimony as (a) a transfer of cash made under a written separation agreement or divorce decree, (b) the separation or divorce decree does not designate the payment as something other than alimony, and (c) the payments cannot continue after the death of the recipient.</w:t>
      </w:r>
    </w:p>
    <w:p w14:paraId="27A3505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For divorce or separation agreements executed before January 1, 2019, alimony is included in gross income of the recipient and deductible for AGI by the payor. </w:t>
      </w:r>
    </w:p>
    <w:p w14:paraId="3F4ECEF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For divorce or separation agreements executed after 2018, alimony is not taxable to the recipient or deductible by the payor. </w:t>
      </w:r>
    </w:p>
    <w:p w14:paraId="4D677329"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Examples 5-14, 5-15, and 5-16.</w:t>
      </w:r>
    </w:p>
    <w:p w14:paraId="14B9CF07"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Prizes, awards, and gambling winnings</w:t>
      </w:r>
    </w:p>
    <w:p w14:paraId="3747FEEF"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Awards are included in gross income unless (a) made for scientific, literary, or charitable achievement and transferred to a federal, state, or local government unit or a qualified charity, (b) made to employees for length of service or safety achievement (limited to $400 of tangible property per employee per year), or (c) made to Team USA athletes from U.S. Olympic Committee on account of their competition in Olympic and Paralympic games (AGI limit applies).</w:t>
      </w:r>
    </w:p>
    <w:p w14:paraId="600BE3EC"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5-17.</w:t>
      </w:r>
    </w:p>
    <w:p w14:paraId="4333D16A"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Social Security benefits</w:t>
      </w:r>
    </w:p>
    <w:p w14:paraId="35F5B2F0"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A taxpayer may be required to include up to 85 percent of Social Security benefits in gross income depending on the taxpayer’s filing status, Social Security benefits, and modified AGI. </w:t>
      </w:r>
    </w:p>
    <w:p w14:paraId="2DDE7C74"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szCs w:val="22"/>
          <w14:ligatures w14:val="none"/>
        </w:rPr>
        <w:t>Modified AGI is regular AGI (excluding 50 percent of Social Security benefits) plus tax-exempt interest income, excluded foreign income, and certain other deductions for AGI.</w:t>
      </w:r>
      <w:r w:rsidRPr="00DC60EF">
        <w:rPr>
          <w:rFonts w:ascii="Times New Roman" w:eastAsia="Times New Roman" w:hAnsi="Times New Roman" w:cs="Times New Roman"/>
          <w:kern w:val="0"/>
          <w14:ligatures w14:val="none"/>
        </w:rPr>
        <w:t xml:space="preserve"> </w:t>
      </w:r>
      <w:r w:rsidRPr="00DC60EF">
        <w:rPr>
          <w:rFonts w:ascii="Times New Roman" w:eastAsia="Times New Roman" w:hAnsi="Times New Roman" w:cs="Times New Roman"/>
          <w:kern w:val="0"/>
          <w:sz w:val="22"/>
          <w14:ligatures w14:val="none"/>
        </w:rPr>
        <w:t xml:space="preserve">High-income individuals include a portion of their benefits up to a maximum of 85 percent of the total Social Security benefits. </w:t>
      </w:r>
    </w:p>
    <w:p w14:paraId="4B592AC2"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As an example, show calculation summary for single taxpayers in text.</w:t>
      </w:r>
    </w:p>
    <w:p w14:paraId="36CA2C4B"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5-18.</w:t>
      </w:r>
    </w:p>
    <w:p w14:paraId="05120E98"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Imputed income</w:t>
      </w:r>
    </w:p>
    <w:p w14:paraId="20C68C6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Examples 5-19 and 5-20.</w:t>
      </w:r>
    </w:p>
    <w:p w14:paraId="7C05F5B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Discharge of indebtedness</w:t>
      </w:r>
    </w:p>
    <w:p w14:paraId="0BAFFEDE"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When a taxpayer’s debt is forgiven by a lender (the debt is discharged), the taxpayer must include the amount of debt relief in gross income.</w:t>
      </w:r>
    </w:p>
    <w:p w14:paraId="79D14384"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Note that there are other circumstances in which taxpayers may exclude a discharge of indebtedness (e.g., home mortgage forgiveness).</w:t>
      </w:r>
    </w:p>
    <w:p w14:paraId="6C1819F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 order to provide tax relief for insolvent taxpayers—taxpayers with liabilities, including tax liabilities, exceeding their assets—a discharge of indebtedness is not taxable if the taxpayer is insolvent before and after the debt forgiveness.</w:t>
      </w:r>
    </w:p>
    <w:p w14:paraId="73A9BC46"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If the discharge of indebtedness makes the taxpayer solvent, the taxpayer recognizes taxable income to the extent of their solvency.</w:t>
      </w:r>
    </w:p>
    <w:p w14:paraId="51A8C0A4"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Taxpayers, regardless of solvency, are also allowed to exclude from gross income most discharges of student loans (loans for post-secondary educational expenses) after 2020 and before 2026.  </w:t>
      </w:r>
    </w:p>
    <w:p w14:paraId="51F32D1E"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5-21.</w:t>
      </w:r>
    </w:p>
    <w:p w14:paraId="7916B40F" w14:textId="77777777" w:rsidR="00DC60EF" w:rsidRPr="00DC60EF" w:rsidRDefault="00DC60EF" w:rsidP="00DC60EF">
      <w:pPr>
        <w:numPr>
          <w:ilvl w:val="0"/>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Exclusion Provisions</w:t>
      </w:r>
    </w:p>
    <w:p w14:paraId="77068D52" w14:textId="77777777" w:rsidR="00DC60EF" w:rsidRPr="00DC60EF" w:rsidRDefault="00DC60EF" w:rsidP="00DC60EF">
      <w:pPr>
        <w:numPr>
          <w:ilvl w:val="1"/>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Common exclusions</w:t>
      </w:r>
    </w:p>
    <w:p w14:paraId="516875F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Municipal bond interest</w:t>
      </w:r>
    </w:p>
    <w:p w14:paraId="2F81F286"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Municipal bonds include bonds issued by state and local governments located in the United States, and this exclusion is generally recognized as a subsidy to state and local governments.</w:t>
      </w:r>
    </w:p>
    <w:p w14:paraId="2741D333"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5-22.</w:t>
      </w:r>
    </w:p>
    <w:p w14:paraId="2350212C"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Gain on the sale of personal residence</w:t>
      </w:r>
    </w:p>
    <w:p w14:paraId="54156010" w14:textId="77777777" w:rsidR="00DC60EF" w:rsidRPr="00DC60EF" w:rsidRDefault="00DC60EF" w:rsidP="00DC60EF">
      <w:pPr>
        <w:spacing w:after="0" w:line="240" w:lineRule="auto"/>
        <w:ind w:left="1434" w:hanging="357"/>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lastRenderedPageBreak/>
        <w:t>$250,000 exclusion ($500,000 if married filing jointly)</w:t>
      </w:r>
    </w:p>
    <w:p w14:paraId="53131FCD" w14:textId="77777777" w:rsidR="00DC60EF" w:rsidRPr="00DC60EF" w:rsidRDefault="00DC60EF" w:rsidP="00DC60EF">
      <w:pPr>
        <w:spacing w:after="0" w:line="240" w:lineRule="auto"/>
        <w:ind w:left="1434" w:hanging="357"/>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Ownership test</w:t>
      </w:r>
    </w:p>
    <w:p w14:paraId="1FB7DB15" w14:textId="77777777" w:rsidR="00DC60EF" w:rsidRPr="00DC60EF" w:rsidRDefault="00DC60EF" w:rsidP="00DC60EF">
      <w:pPr>
        <w:spacing w:after="0" w:line="240" w:lineRule="auto"/>
        <w:ind w:left="1434" w:hanging="357"/>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Use test</w:t>
      </w:r>
    </w:p>
    <w:p w14:paraId="6B5C85C6" w14:textId="77777777" w:rsidR="00DC60EF" w:rsidRPr="00DC60EF" w:rsidRDefault="00DC60EF" w:rsidP="00DC60EF">
      <w:pPr>
        <w:spacing w:after="0" w:line="240" w:lineRule="auto"/>
        <w:ind w:left="1434" w:hanging="357"/>
        <w:contextualSpacing/>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Work through Example 5-23.</w:t>
      </w:r>
    </w:p>
    <w:p w14:paraId="5784F24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Fringe benefits</w:t>
      </w:r>
    </w:p>
    <w:p w14:paraId="224F05E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The value of these benefits is included in the employee’s gross income as compensation for services.</w:t>
      </w:r>
    </w:p>
    <w:p w14:paraId="4CA32C2A"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Certain “qualifying fringe benefits” are excluded from gross income.</w:t>
      </w:r>
    </w:p>
    <w:p w14:paraId="2AE223A5"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Common qualifying fringe benefits are medical and dental health insurance coverage, life insurance coverage, </w:t>
      </w:r>
      <w:r w:rsidRPr="00DC60EF">
        <w:rPr>
          <w:rFonts w:ascii="Times New Roman" w:eastAsia="Times New Roman" w:hAnsi="Times New Roman" w:cs="Times New Roman"/>
          <w:i/>
          <w:kern w:val="0"/>
          <w:sz w:val="22"/>
          <w14:ligatures w14:val="none"/>
        </w:rPr>
        <w:t>de minimis</w:t>
      </w:r>
      <w:r w:rsidRPr="00DC60EF">
        <w:rPr>
          <w:rFonts w:ascii="Times New Roman" w:eastAsia="Times New Roman" w:hAnsi="Times New Roman" w:cs="Times New Roman"/>
          <w:kern w:val="0"/>
          <w:sz w:val="22"/>
          <w14:ligatures w14:val="none"/>
        </w:rPr>
        <w:t xml:space="preserve"> (small) benefits. </w:t>
      </w:r>
    </w:p>
    <w:p w14:paraId="407E495B"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Examples 5-24 and 5-25.</w:t>
      </w:r>
    </w:p>
    <w:p w14:paraId="47D10EC9"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Education-related exclusions</w:t>
      </w:r>
    </w:p>
    <w:p w14:paraId="3A310FF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Scholarships</w:t>
      </w:r>
    </w:p>
    <w:p w14:paraId="073EFDA8"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Students seeking a college degree can exclude scholarships that pay for required tuition, fees, books, and supplies. </w:t>
      </w:r>
    </w:p>
    <w:p w14:paraId="1695D7F9"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5-26.</w:t>
      </w:r>
    </w:p>
    <w:p w14:paraId="0D8B18F1"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Other educational subsidies</w:t>
      </w:r>
    </w:p>
    <w:p w14:paraId="2C4892D8"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Taxpayers are allowed to exclude from gross income earnings on investments in qualified education plans such as 529 plans and Coverdell education savings accounts as long as they use the earnings to pay for qualifying educational expenditures.</w:t>
      </w:r>
    </w:p>
    <w:p w14:paraId="77363245"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Taxpayers can elect to exclude interest earned on Series EE savings bonds when the redemption proceeds are used to pay qualified higher education expenses.</w:t>
      </w:r>
    </w:p>
    <w:p w14:paraId="75337E0B"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The exclusion of interest on Series EE savings bonds is restricted to taxpayers with modified AGI below specific limits.</w:t>
      </w:r>
    </w:p>
    <w:p w14:paraId="53776B4C"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Exclusions that mitigate double taxation</w:t>
      </w:r>
    </w:p>
    <w:p w14:paraId="275C33D4"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Gifts and inheritances</w:t>
      </w:r>
    </w:p>
    <w:p w14:paraId="173D111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Individuals may transfer property to other taxpayers without receiving or expecting to receive value in return.</w:t>
      </w:r>
    </w:p>
    <w:p w14:paraId="1CC5D80E"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If the transferor is alive at the time of the transfer, the property transfer is called a gift.</w:t>
      </w:r>
    </w:p>
    <w:p w14:paraId="6CFE611B"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If the property is transferred from the decedent’s estate (transferor is deceased), it is called an inheritance.</w:t>
      </w:r>
    </w:p>
    <w:p w14:paraId="75E048B5"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Gifts and inheritances are subject to federal transfer taxes and are therefore excluded from the income of the recipient.</w:t>
      </w:r>
    </w:p>
    <w:p w14:paraId="38524A5B"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5-27.</w:t>
      </w:r>
    </w:p>
    <w:p w14:paraId="47FB4F9D"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Life insurance proceeds</w:t>
      </w:r>
    </w:p>
    <w:p w14:paraId="0F2A099D"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In some ways, life insurance proceeds are similar to inheritances. </w:t>
      </w:r>
    </w:p>
    <w:p w14:paraId="5ABF7BC3"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 xml:space="preserve">If the policy holder dies, the beneficiary receives the death benefit proceeds. The decedent is generally subject to estate taxation on the amount of the insurance proceeds. </w:t>
      </w:r>
    </w:p>
    <w:p w14:paraId="7EFBDCB9"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In order to avoid potential double taxation on the life insurance proceeds, the tax laws allow taxpayers receiving life insurance proceeds to exclude the proceeds from taxable income.</w:t>
      </w:r>
    </w:p>
    <w:p w14:paraId="1F4FB333"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14:ligatures w14:val="none"/>
        </w:rPr>
        <w:t xml:space="preserve">If the </w:t>
      </w:r>
      <w:r w:rsidRPr="00DC60EF">
        <w:rPr>
          <w:rFonts w:ascii="Times New Roman" w:eastAsia="Times New Roman" w:hAnsi="Times New Roman" w:cs="Times New Roman"/>
          <w:kern w:val="0"/>
          <w:sz w:val="22"/>
          <w:szCs w:val="22"/>
          <w14:ligatures w14:val="none"/>
        </w:rPr>
        <w:t>insurance proceeds are paid over a period of time rather than in a lump sum, a portion of the payments represents interest and must be included in gross income.</w:t>
      </w:r>
    </w:p>
    <w:p w14:paraId="4F9A6718"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The life insurance proceeds exclusion generally does not apply when a life insurance policy is transferred to another party for valuable consideration. In this case, the eventual life insurance proceeds collected by the purchaser are excluded up to the sum of the purchase price of the policy and any subsequent premiums, with remaining proceeds taxable as ordinary income.</w:t>
      </w:r>
    </w:p>
    <w:p w14:paraId="7171ED11"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lastRenderedPageBreak/>
        <w:t xml:space="preserve">If a taxpayer simply cancels a life insurance contract and is paid the policy’s cash surrender value, she would recognize ordinary income to the extent the proceeds received exceed previous premiums paid. If premiums paid exceed the proceeds received, the loss is not deductible. </w:t>
      </w:r>
    </w:p>
    <w:p w14:paraId="3AA08DD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 xml:space="preserve">If the taxpayer is terminally ill (medically certified with an illness expected to cause death within 24 months), early receipt of life insurance proceeds (accelerated death benefits) is not taxable. </w:t>
      </w:r>
    </w:p>
    <w:p w14:paraId="3C6EB498"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Work through Example 5-28.</w:t>
      </w:r>
    </w:p>
    <w:p w14:paraId="7E13013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Foreign-earned income</w:t>
      </w:r>
    </w:p>
    <w:p w14:paraId="3A2348B8"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 maximum of $130,000 (2025) of foreign-earned income can be excluded from gross income for qualifying individuals.</w:t>
      </w:r>
    </w:p>
    <w:p w14:paraId="76A9804D"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To be eligible for the foreign-earned income and housing exclusions, the taxpayer must have their tax home in a foreign country and (1) be considered a resident of the foreign country by living in the country for the entire year (calendar year) or (2) live in the foreign country for 330 days in a consecutive 12-month period.</w:t>
      </w:r>
    </w:p>
    <w:p w14:paraId="5FABF26C"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szCs w:val="22"/>
          <w14:ligatures w14:val="none"/>
        </w:rPr>
      </w:pPr>
      <w:r w:rsidRPr="00DC60EF">
        <w:rPr>
          <w:rFonts w:ascii="Times New Roman" w:eastAsia="Times New Roman" w:hAnsi="Times New Roman" w:cs="Times New Roman"/>
          <w:kern w:val="0"/>
          <w:sz w:val="22"/>
          <w:szCs w:val="22"/>
          <w14:ligatures w14:val="none"/>
        </w:rPr>
        <w:t xml:space="preserve">Taxpayers meeting the requirement for the foreign-earned income exclusion may also exclude from income reasonable housing costs that exceed 16 percent of the statutory foreign-earned income exclusion amount for the year (exceed 16 percent × $130,000 = $20,800 in 2025). The exclusion, however, is limited to a maximum of 14 percent of the statutory exclusion amount (14 percent × $130,000 = $18,200 in 2025). </w:t>
      </w:r>
    </w:p>
    <w:p w14:paraId="627FFB2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5-29.</w:t>
      </w:r>
    </w:p>
    <w:p w14:paraId="62D3639B"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ab/>
        <w:t>Sickness and injury-related exclusions</w:t>
      </w:r>
    </w:p>
    <w:p w14:paraId="62A119FB"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Workers’ compensation</w:t>
      </w:r>
    </w:p>
    <w:p w14:paraId="596EA8DE"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Payments from workers’ compensation plans are excluded from gross income.</w:t>
      </w:r>
    </w:p>
    <w:p w14:paraId="05514211"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Payments associated with personal injury</w:t>
      </w:r>
    </w:p>
    <w:p w14:paraId="19602B7E"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Payments received as compensation for a physical injury are excluded from gross income, but punitive damages are included in gross income.</w:t>
      </w:r>
    </w:p>
    <w:p w14:paraId="197145C9"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5-30.</w:t>
      </w:r>
    </w:p>
    <w:p w14:paraId="298EEEA9"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Health care reimbursement</w:t>
      </w:r>
    </w:p>
    <w:p w14:paraId="6B669D89"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Reimbursements by health and accident insurance policies for medical expenses paid by the taxpayer are excluded from gross income.</w:t>
      </w:r>
    </w:p>
    <w:p w14:paraId="5AB6904C"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Disability insurance</w:t>
      </w:r>
    </w:p>
    <w:p w14:paraId="28CA9372"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Disability insurance, also called wage replacement insurance, pays the insured individual for wages lost when the individual misses work due to injury or disability.</w:t>
      </w:r>
    </w:p>
    <w:p w14:paraId="7E873C1A"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Disability benefit payments received from an individually purchased policy (or an employer-purchased policy with the premiums treated as taxable compensation to the employee) are excluded from gross income.</w:t>
      </w:r>
    </w:p>
    <w:p w14:paraId="25199A6C" w14:textId="77777777" w:rsidR="00DC60EF" w:rsidRPr="00DC60EF" w:rsidRDefault="00DC60EF" w:rsidP="00DC60EF">
      <w:pPr>
        <w:numPr>
          <w:ilvl w:val="4"/>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Work through Example 5-31.</w:t>
      </w:r>
    </w:p>
    <w:p w14:paraId="6245E724" w14:textId="77777777" w:rsidR="00DC60EF" w:rsidRPr="00DC60EF" w:rsidRDefault="00DC60EF" w:rsidP="00DC60EF">
      <w:pPr>
        <w:numPr>
          <w:ilvl w:val="2"/>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Deferral provisions</w:t>
      </w:r>
    </w:p>
    <w:p w14:paraId="2EC13BFA" w14:textId="77777777" w:rsidR="00DC60EF" w:rsidRPr="00DC60EF" w:rsidRDefault="00DC60EF" w:rsidP="00DC60EF">
      <w:pPr>
        <w:numPr>
          <w:ilvl w:val="3"/>
          <w:numId w:val="1"/>
        </w:numPr>
        <w:spacing w:after="0" w:line="240" w:lineRule="auto"/>
        <w:rPr>
          <w:rFonts w:ascii="Times New Roman" w:eastAsia="Times New Roman" w:hAnsi="Times New Roman" w:cs="Times New Roman"/>
          <w:kern w:val="0"/>
          <w:sz w:val="22"/>
          <w14:ligatures w14:val="none"/>
        </w:rPr>
      </w:pPr>
      <w:r w:rsidRPr="00DC60EF">
        <w:rPr>
          <w:rFonts w:ascii="Times New Roman" w:eastAsia="Times New Roman" w:hAnsi="Times New Roman" w:cs="Times New Roman"/>
          <w:kern w:val="0"/>
          <w:sz w:val="22"/>
          <w14:ligatures w14:val="none"/>
        </w:rPr>
        <w:t>Deferral provisions allow taxpayers to defer (but not permanently exclude) the recognition of certain types of realized income.</w:t>
      </w:r>
    </w:p>
    <w:p w14:paraId="4626AEE0" w14:textId="77777777" w:rsidR="00DC60EF" w:rsidRPr="00DC60EF" w:rsidRDefault="00DC60EF" w:rsidP="00DC60EF">
      <w:pPr>
        <w:numPr>
          <w:ilvl w:val="3"/>
          <w:numId w:val="1"/>
        </w:numPr>
        <w:spacing w:after="320" w:line="240" w:lineRule="auto"/>
        <w:rPr>
          <w:rFonts w:ascii="Times New Roman" w:eastAsia="Times New Roman" w:hAnsi="Times New Roman" w:cs="Times New Roman"/>
          <w:kern w:val="0"/>
          <w14:ligatures w14:val="none"/>
        </w:rPr>
      </w:pPr>
      <w:r w:rsidRPr="00DC60EF">
        <w:rPr>
          <w:rFonts w:ascii="Times New Roman" w:eastAsia="Times New Roman" w:hAnsi="Times New Roman" w:cs="Times New Roman"/>
          <w:kern w:val="0"/>
          <w:sz w:val="22"/>
          <w14:ligatures w14:val="none"/>
        </w:rPr>
        <w:t>Transactions generating deferred income include installment sales, like-kind exchanges, involuntary conversions, and contributions to non-Roth qualifying retirement accounts.</w:t>
      </w:r>
    </w:p>
    <w:p w14:paraId="175D4459" w14:textId="77777777" w:rsidR="000F2F16" w:rsidRDefault="000F2F16"/>
    <w:sectPr w:rsidR="000F2F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83B70"/>
    <w:multiLevelType w:val="multilevel"/>
    <w:tmpl w:val="6F42A1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5019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EF"/>
    <w:rsid w:val="000F2F16"/>
    <w:rsid w:val="00990447"/>
    <w:rsid w:val="00B9598C"/>
    <w:rsid w:val="00BB05A4"/>
    <w:rsid w:val="00CA2370"/>
    <w:rsid w:val="00DC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CF10"/>
  <w15:chartTrackingRefBased/>
  <w15:docId w15:val="{82294494-B0F2-4626-A3C9-80D4A3EF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0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0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0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0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0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0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0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0EF"/>
    <w:rPr>
      <w:rFonts w:eastAsiaTheme="majorEastAsia" w:cstheme="majorBidi"/>
      <w:color w:val="272727" w:themeColor="text1" w:themeTint="D8"/>
    </w:rPr>
  </w:style>
  <w:style w:type="paragraph" w:styleId="Title">
    <w:name w:val="Title"/>
    <w:basedOn w:val="Normal"/>
    <w:next w:val="Normal"/>
    <w:link w:val="TitleChar"/>
    <w:uiPriority w:val="10"/>
    <w:qFormat/>
    <w:rsid w:val="00DC6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0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0EF"/>
    <w:pPr>
      <w:spacing w:before="160"/>
      <w:jc w:val="center"/>
    </w:pPr>
    <w:rPr>
      <w:i/>
      <w:iCs/>
      <w:color w:val="404040" w:themeColor="text1" w:themeTint="BF"/>
    </w:rPr>
  </w:style>
  <w:style w:type="character" w:customStyle="1" w:styleId="QuoteChar">
    <w:name w:val="Quote Char"/>
    <w:basedOn w:val="DefaultParagraphFont"/>
    <w:link w:val="Quote"/>
    <w:uiPriority w:val="29"/>
    <w:rsid w:val="00DC60EF"/>
    <w:rPr>
      <w:i/>
      <w:iCs/>
      <w:color w:val="404040" w:themeColor="text1" w:themeTint="BF"/>
    </w:rPr>
  </w:style>
  <w:style w:type="paragraph" w:styleId="ListParagraph">
    <w:name w:val="List Paragraph"/>
    <w:basedOn w:val="Normal"/>
    <w:uiPriority w:val="34"/>
    <w:qFormat/>
    <w:rsid w:val="00DC60EF"/>
    <w:pPr>
      <w:ind w:left="720"/>
      <w:contextualSpacing/>
    </w:pPr>
  </w:style>
  <w:style w:type="character" w:styleId="IntenseEmphasis">
    <w:name w:val="Intense Emphasis"/>
    <w:basedOn w:val="DefaultParagraphFont"/>
    <w:uiPriority w:val="21"/>
    <w:qFormat/>
    <w:rsid w:val="00DC60EF"/>
    <w:rPr>
      <w:i/>
      <w:iCs/>
      <w:color w:val="0F4761" w:themeColor="accent1" w:themeShade="BF"/>
    </w:rPr>
  </w:style>
  <w:style w:type="paragraph" w:styleId="IntenseQuote">
    <w:name w:val="Intense Quote"/>
    <w:basedOn w:val="Normal"/>
    <w:next w:val="Normal"/>
    <w:link w:val="IntenseQuoteChar"/>
    <w:uiPriority w:val="30"/>
    <w:qFormat/>
    <w:rsid w:val="00DC6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0EF"/>
    <w:rPr>
      <w:i/>
      <w:iCs/>
      <w:color w:val="0F4761" w:themeColor="accent1" w:themeShade="BF"/>
    </w:rPr>
  </w:style>
  <w:style w:type="character" w:styleId="IntenseReference">
    <w:name w:val="Intense Reference"/>
    <w:basedOn w:val="DefaultParagraphFont"/>
    <w:uiPriority w:val="32"/>
    <w:qFormat/>
    <w:rsid w:val="00DC60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fa7a1fb-3f48-4fd9-bce0-6283cfafd648}" enabled="1" method="Standard" siteId="{fab6beb5-3604-42df-bddc-f4e9ddd654d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11280</Characters>
  <Application>Microsoft Office Word</Application>
  <DocSecurity>4</DocSecurity>
  <Lines>94</Lines>
  <Paragraphs>26</Paragraphs>
  <ScaleCrop>false</ScaleCrop>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Pamela H.</dc:creator>
  <cp:keywords/>
  <dc:description/>
  <cp:lastModifiedBy>Carmella Iacovetta</cp:lastModifiedBy>
  <cp:revision>2</cp:revision>
  <dcterms:created xsi:type="dcterms:W3CDTF">2026-02-18T01:04:00Z</dcterms:created>
  <dcterms:modified xsi:type="dcterms:W3CDTF">2026-02-18T01:04:00Z</dcterms:modified>
</cp:coreProperties>
</file>